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Джуламанов Нурале Киниспаевич обратился в суд с заявлением о привлечении Киселёва А.Б. и Киселёвой С.М. к субсидиарной ответственности. Определением Арбитражного суда Оренбургской области от 14.10.2019, оставленным без изменения постановлениями Восемнадцатого арбитражного апелляционного суда от 17.12.2019 и Арбитражного суда Уральского округа от 03.03.2020, заявление удовлетворено. В кассационной жалобе, поданной в Верховный Суд Российской Федерации, заявители просят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53.1, 56 Гражданского кодекса Российской Федерации, пунктом 4 статьи 10 Федерального закона от 26.10.2002 № 127-ФЗ «О несостоятельности (банкротстве)», признали доказанным наличие оснований для привлечения заявителей (руководителя и учредителя должника) к субсидиарной ответственности ввиду заключения последними сделки в условиях убыточной деятельности должника, отсутствия необходимых производственных и имущественных возможностей для её исполнения, в том числе, доказательств принятия контролирующими должника лицами мер к улучшению финансового положения и выходу из кризисной ситуации, что привело к необратимым финансовым последствиям и появлению признаков объективного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Киселёву Алексею Борисовичу и Киселёвой Светлане Михайловне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