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17.07.2019, оставленным без изменения постановлением Девятого арбитражного апелляционного суда от 29.10.2019, иск удовлетворен. Арбитражный суд Московского округа постановлением от 02.03.2020 решение от 17.07.2019 и постановление Девятого арбитражного апелляционного суда от 29.10.2019 оставил без изменения. В кассационной жалобе предприниматель просит об отмене судебных актов, ссылаясь на неправомерность взыскания убытков в заявленном размере.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Взыскание убытков с предпринимателя как владельца источника повышенной опасности, при использовании которого причинен вред, соответствует статьям 15 , 1064 , 1068 , 1072 , 1079 Гражданского кодекса Российской Федерации и представленными доказательствами размера убытков. Вопросы доказывания и оценки доказательств, на которых основаны доводы жалобы,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"Дарья" (подробнее) Ответчики: ИП Абрамушкин Д.Б.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