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ФИО2 обратился в Арбитражный суд Удмуртской Республики с иском о взыскании с индивидуального предпринимателя ФИО1 177 610 рублей убытков, образовавшихся в результате повреждения перевозимого груза в дорожно-транспортном происшествии, а также 60 000 рублей в возмещение судебных издержек. К участию в деле в качестве третьих лиц, не заявляющих самостоятельных требований относительно предмета спора, привлечены ФИО3, общество с ограниченной ответственностью «Транспортная компания ВАЛЬКИРИЯ», индивидуальный предприниматель ФИО4, индивидуальный предприниматель ФИО5, федеральное казенное учреждение «Федеральное управление автомобильных дорог Волго-Вятского региона Федерального дорожного агентства», федеральное казенное учреждение «Управление федеральных автомобильных дорог «Прикамье» Федерального дорожного агентства» в лице филиала ФКУ УПРДОР «Прикамье» в г. Ижевске, общество с ограниченной ответственностью «Дортехинжиниринг». Решением Арбитражного суда Удмуртской Республики от 03.10.2019 иск удовлетворен, а также частично взысканы судебные расходы. Постановлением Семнадцатого арбитражного апелляционного суда от 18.12.2019 решение суда оставлено без изменения. Арбитражный суд Уральского округа постановлением от 18.03.2020 указанные судебные акты оставил без изменения. Индивидуальный предприниматель ФИО1 обратился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 факт принятия спорного груза к перевозке именно ответчиком, установив, что ответчик несет ответственность перед истцом в связи с ненадлежащим исполнением заключенного между ними договора и повреждением груза, отсутствуют доказательства наличия обстоятельств, которые перевозчик не мог предотвратить и устранение которых от него не зависело, а также доказательства того, что он предпринял все необходимые меры для доставки груза в надлежащем состоянии, руководствуясь положениями статей 15 , 393 , 785 , 793 , 796 Гражданского кодекса Российской Федерации, суды пришли к выводу о наличии оснований для взыскания убытков в виде стоимости поврежденного груза.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