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22.08.2019, оставленным без изменения постановлением Девятнадцатого арбитражного апелляционного суда от 14.11.2019 и постановлением Арбитражного суда Центрального округа от 03.03.2020, взыскано 2 518 750 рублей задолженности, 1 182 798 рублей 50 копеек неустойки. В кассационной жалобе завод просит об отмене судебных актов, ссылаясь на незаконное 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«ФИО1 завод строительно- отделочных машин»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"ЛЕБЕДЯНСКИЙ ЗАВОД СТРОИТЕЛЬНО-ОТДЕЛОЧНЫХ МАШИН" (подробнее) Ответчики: ООО "Прораб"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