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закрытое акционерное общество «Торговая фирма «Дом Ленинградской Торговли» (далее – общество «ТФ «ДЛТ») обратилось в суд с заявлением о включении в реестр требований кредиторов должника требования в размере 1 044 599 332 рублей 51 копейки. Определением Арбитражного суда города Санкт-Петербурга и Ленинградской области от 17.02.2018, оставленным без изменения постановлением Тринадцатого арбитражного апелляционного суда от 28.04.2018, требование включено в реестр в размере 981 156 922 рублей 03 копеек, отказано в удовлетворении остальной части заявления. Постановлением Арбитражного суда Северо-Западного округа от 18.07.2018 отменены определение суда первой инстанции от 17.02.2018 и постановление апелляционного суда от 28.04.2018, обособленный спор направлен на новое рассмотрение в суд первой инстанции. При новом рассмотрении определением Арбитражного суда города Санкт-Петербурга и Ленинградской области от 14.09.2018 к участию в данном обособленном споре привлечено общество «ИНТЕРФУД», которое заявило 2 ходатайство о замене общества «ТФ «ДЛТ» на общество «ИНТЕРФУД» в порядке процессуального правопреемства. Определением Арбитражного суда города Санкт-Петербурга и Ленинградской области от 29.08.2019, оставленным без изменения постановлениями Тринадцатого арбитражного апелляционного суда от 18.11.2019 и Арбитражного суда Северо-Западного округа от 04.03.2020, отказано в удовлетворении заявления о процессуальном правопреемстве, отказано в удовлетворении заявления о включении требования в реестр.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города Санкт-Петербурга и Ленинградской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71 Федерального закона от 26.10.2002 № 127-ФЗ «О несостоятельности (банкротстве)», позицией, изложенной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установив, что отношения, положенные в основу требований общества «ТФ «ДЛТ» и общества «ИНТЕРФУД», направлены на вывод активов группы компаний во избежание обращения на них взыскания со стороны независимых кредиторов и получение заинтересованными лицами контроля над процедурой банкротства, пришли к выводу об отсутствии оснований для удовлетворения заявления ввиду недоказанности их экономической целесообразности, а также наличия пороков, предусмотренных статьёй 10 Гражданского кодекса Российской Федерации.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3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«ИНТЕРФУД» Михайловой Наталии Николаевне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