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21.05.2019, оставленным без изменения постановлением Двадцать первого арбитражного апелляционного суда от 18.10.2019 и постановлением Арбитражного суда Центрального округа от 05.03.2020, в удовлетворении иска отказано. В кассационной жалобе общество «Гидромонтаж ВБ» просит о пересмотре судебных актов вследствие принятия судом в обоснование состоявшейся поставки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«Гидромонтаж ВБ»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"ГИДРОМОНТАЖ ВБ" (подробнее) Ответчики: ООО "НОВАГРУП"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