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Девятнадцатого арбитражного апелляционного суда от 10.12.2019, оставленным без изменения постановлением Арбитражного суда Центрального округа от 06.03.2020, в удовлетворении заявления отказано в связи с тем, что приведенное заявителем обстоятельство не является вновь открывшимися для рассматриваемого дела. В кассационной жалобе предприниматель просит о пересмотре судебных актов в отношении вновь открывшегося обстоятельства, указывая на неправильную оценку его влияния на существо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Установленная судом общей юрисдикции невозможность восстановления права владения транспортным средством не влечет изменения права на получение страхового возмещения, поскольку это право возникает из договора страхования и признано не наступившим применительно к согласованным условиям страхования.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Клепа Андрей Александрович (подробнее) Ответчики: ПАО "САК "Энергогарант"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