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«Городская управляющая жилищная компания Железнодорожного района города Рязани» (далее – Компания) обратилось в Арбитражный суд Рязанской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«Прокам» (далее – Общество) о взыскании 192 421 рубля 13 копеек задолженности по оплате услуг за содержание и текущий ремонт общего имущества многоквартирного дома (далее – МКД), расположенного по адресу: &lt;...&gt;, за период с 28.09.2015 по июнь 2018 года, 44 431 рубля 82 копеек пени, начисленной за период с 13.10.2015 по 06.08.2018, с дальнейшим начисление за просрочку исполнения обязательства на сумму основного долга, исходя из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07.08.2018 по день фактической уплаты, а также 30 000 рублей в возмещение расходов на оплату услуг представителя. В свою очередь Общество заявило встречные требования о взыскании 511 000 рублей задолженности в порядке зачета первоначального требования. К участию в деле в качестве третьих лиц, не заявляющих самостоятельных требований относительно предмета спора, привлечены Управление энергетики и жилищно-коммунального хозяйства города Рязани и Государственная жилищная инспекция Рязанской области. Решением Арбитражного суда Рязанской области от 07.08.2019, оставленным без изменения постановлением Двадцатого арбитражного апелляционного суда от 25.11.2019 и постановлением Арбитражного суда Центрального округа от 04.03.2020, первоначальный иск Компании удовлетворен; в удовлетворении встречных требований Общества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ничтожность решения заочного общего собрания владельцев помещений от 26.03.2009; управляющей организацией неправомерно завышается размер платы за содержание жилого помещения; суды не проверили его заявление о фальсификации указанного решения; не исследовали значимые обстоятельства по делу; не применили статью 401 Гражданского кодекса Российской Федерации (далее – Гражданский кодекс), в силу которой отсутствие вины должна доказать Компания. Судом первой инстанции допущены нарушения процессуального права, поскольку решение было принято в отсутствие заявителя, что лишило его возможности представить дополнительные доказательства по делу.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26.03.2009 на внеочередном общем собрании собственников помещений в МКД, расположенном по адресу: &lt;...&gt;, посредством заочного голосования собственников принято решение об избрании способа управления многоквартирным домом управляющей организацией – Компанией, с которой заключить договор управления. Принятое решение оформлено протоколом от 26.03.2009 № 1. Во исполнение указанного протокола управляющей организацией и собственниками МКД заключены договоры управления, которыми предусмотрено установление взаимных прав и обязанностей сторон в правоотношениях по управлению общим имуществом данного МКД. Перечень услуг по управлению МКД и по содержанию общего имущества определен в приложениях № 1 и 2 к договору. Собственником нежилого помещения Н2, площадью 438,9 кв. м в МКД с 31.05.2012 согласно выписке из Единого государственного реестра прав на недвижимое имущество и сделок с ним от 14.02.2018, является Общество. В период с 28.09.2015 по июнь 2018 года Компания осуществляла функции по содержанию и техническому обслуживанию общего имущества спорного МКД. В связи с неисполнением Обществом обязательства по оплате расходов по содержанию и текущему ремонту общего имущества собственников за указанный период, Компания обратилась в арбитражный суд с первоначальным иском. Общество, ссылаясь ненадлежащее исполнение управляющей организацией своих обязанностей, заявило встречные требования на основании статьи 393 Гражданского кодекса. Исследовав, оценив по правилам статьи 71 АПК РФ представленные доказательства, руководствуясь статьями 210 , 249 , 290 Гражданского кодекса, а также статьями 36 , 39 , 44 , 153 - 158 , 161 , 169 Жилищного кодекса Российской Федерации (далее – Жилищный кодекс), суды удовлетворили первоначальный иск, придя к выводу, что ответчик, как собственник помещения, обязан нести расходы по содержанию общего имущества, признав представленный Компанией расчет задолженности верным. Отказывая в удовлетворении встречных требований, суды, руководствуясь статьей 247 Гражданского кодекса, статьей 44 Жилищного кодекса и пунктами 18, 21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пришли к выводу, что документы, предоставленные Обществом, не могут служить доказательством ненадлежащего исполнения управляющей организацией своих обязанностей по содержанию и текущему ремонту общего имущества, поскольку составлены в одностороннем порядке. Несение Обществом самостоятельных затрат не освобождает его как собственника от обязанности нести расходы по содержанию общего имущества.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«Прокам»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"Городская управляющая жилищная компания Железнодорожного района города Рязани" (подробнее) Ответчики: ООО "ПРОКАМ" (подробнее) Иные лица: Межрайонной инспекции Федеральной налоговой службы №2 по Рязанской области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