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«Внешнеэкономическое объединение «АстраТех» (далее – общество) обратилась в суд с заявлением о включении в реестр требований кредиторов должника задолженности по договору поставки № 11/06/18 в размере 158 771 513 рублей 40 копеек. Определением Арбитражного суда города Москвы от 07.08.2019, оставленным без изменения постановлениями Девятого арбитражного апелляционного суда от 28.11.2019 и Арбитражного суда Московского округа от 05.02.2020, требование признано обоснованным и включено в третью очередь реестра.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71 и 100 Федерального закона от 26.10.2002 № 127-ФЗ «О несостоятельности (банкротстве)», установив реальность отношений, послуживших основанием для обращения общества с заявленными требованиями, пришли к выводу об их обоснованности и подтверждённости первичными документами, указав на отсутствие доказательств погашения задолженности должником.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налоговой службе в лице Управления Федеральной налоговой службы по городу Москве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