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фшов» (далее – Общество) обратилось в Арбитражный суд города Москвы с иском к обществу с ограниченной ответственностью «Лига» о взыскании 873 849 рублей 95 копеек убытков в виде реального ущерба за неисполнение договора подряда от 25.12.2017 № Ла/17/39. Решением Арбитражного суда города Москвы от 22.08.2019, оставленным без изменения постановлением Девятого арбитражного апелляционного суда от 19.11.2019 и постановлением Арбитражного суда Московского округа от 11.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Дефшов». Срок подачи кассационной жалобы на решение Арбитражного суда города Москвы от 22.08.2019, постановление Девятого арбитражного апелляционного суда от 19.11.2019 и постановление Арбитражного суда Московского округа от 11.03.2020 по делу № А40-73420/2019 восстановить. Судья Верховного Суда Российской Федерации Н.С. Чучунова Суд: Верховный Суд РФ (подробнее) Истцы: ООО "Дефшов" (подробнее) Ответчики: ООО ЛИ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