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21.06.2019, оставленным без изменения постановлением Девятого арбитражного апелляционного суда от 17.10.2019, в удовлетворении иска отказано в связи с пропуском срока исковой давности. Арбитражный суд Московского округа постановлением от 27.02.2020 решение от 21.06.2019 и постановление Девятого арбитражного апелляционного суда от 17.10.2019 оставил без изменения. В кассационной жалобе акционерное общество «РосАгроЛизинг» просит о пересмотре судебных актов, ссылаясь на неправильное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Начало течения срока исковой давности определено судами по правилам статьи 200 Гражданского кодекса Российской Федерации исходя из характера правоотношений сторон и с учетом соблюдения досудебного порядка урегулирования спора. Оснований для иного исчисления срока исковой давности заявитель не обосновал.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«РосАгроЛизинг»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