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«Юридическая фирма «Глобальное право» обратилось в Арбитражный суд Пермского края с иском о взыскании с акционерного общества «Страховая группа «УралСиб» 138 279 рублей 48 копеек. К участию в деле в качестве третьих лиц, не заявляющих самостоятельных требований относительно предмета спора, привлечены Гайфутдинов Александр Ринатович, Четин Антон Владимирович. Решением Арбитражного суда Пермского края от 21.11.2016 иск удовлетворен в части взыскания 6 279 рублей 48 копеек страхового возмещения, 12 000 рублей расходов на оплату оценочных услуг, 6 279 рублей 48 копеек неустойки за просрочку исполнения обязательства по выплате страхового возмещения за период с 10.11.2013 по 01.06.2016, 10 000 рублей судебных расходов по оплате юридических услуг, 5 533 рублей расходов по уплате государственной пошлины и 74 рублей почтовых расходов; в удовлетворении иска в остальной части отказано. Определением Арбитражного суда Пермского края от 01.06.2017 по ходатайству истца (взыскателя) произведена замена ответчика (должника) с 2 АО «Страховая группа «УралСиб» на его правопреемника – акционерное общество «СК Опора». Истец (взыскатель) обратился в Арбитражный суд Пермского края с заявлением о замене должника на Российский союз автостраховщиков. Определением Арбитражного суда Пермского края от 25.09.2019 произведена замена АО «СК Опора» на общество с ограниченной ответственностью «Страховая компания «Ангара». Постановлением Семнадцатого арбитражного апелляционного суда от 05.12.2019 определение суда первой инстанции о процессуальном правопреемстве отменено, заявление удовлетворено и произведена замена должника (АО «СК Опора») на Российский союз автостраховщиков. Арбитражный суд Уральского округа постановлением от 21.02.2020 указанные судебные акты отменил и в удовлетворении заявления отказал. Общество с ограниченной ответственностью «Юридическая фирма «Глобальное право»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судебные акты и отказывая в удовлетворении заявления о процессуальном правопреемстве и замене должника на Российский союз автостраховщиков, окружной суд руководствовался статьями 18, 19, 27 Федерального закона от 25.04.2002 № 40-ФЗ «Об обязательном страховании ответственности владельцев автотранспортных средств» и исходил из того, что возложение на профессиональное объединение страховщиков обязанности осуществлять компенсационные выплаты само по себе не является основанием считать его правопреемником страховщика по обязательствам, вытекающим из договоров обязательного страхования. 3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«Юридическая фирма «Глобальное право»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