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31.07.2019, оставленным без изменения постановлением Десятого арбитражного 2 апелляционного суда от 09.10.2019 и постановлением Арбитражного суда Московского округа от 18.03.2020, в удовлетворении первоначальных исковых требований отказано, встречные исковые требования удовлетворены. В кассационной жалобе, поданной в Верховный Суд Российской Федерации, учреждение, ссылаясь на нарушение судами норм права, несоответствие их выводов фактическим обстоятельствам дела,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Предъявленные взаимные требования учреждения (заказчика) и общества (подрядчика) основаны на государственных контрактах от 05.06.2017 № 0348200081017000001, от 05.06.2017 № 0348200081017000046, от 16.06.2017 № 0348200081017000060 (далее – контракты), от исполнения которых заказчик отказался в одностороннем порядке.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подрядчик до момента расторжения контрактов передал заказчику результат работ на сумму, превышающую сумму перечисленного последним аванса; результат этих работ имеет для учреждения потребительскую ценность, им используется, но в полном объеме не оплачен. При таких обстоятельствах, руководствуясь статьями 309, 310, 453, 702, 708, 711, 717, 753, 758, 762, 1102 Гражданского кодекса Российской Федерации, суды пришли к выводу об отсутствии у общества обязанности по возврату учреждению аванса и наличии у последнего задолженности, в связи с чем отказали в удовлетворении первоначальных исковых требований и удовлетворили встречные требования. С указанными выводами впоследствии согласился суд округа. Доводы кассационной жалобы не опровергают выводы судов, направлены на переоценку обстоятельств дела, установленных судами, и не подтверждают существенных нарушений судами норм материального и процессуального права, повлиявших на исход дела.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государственного казенного учреждения Московской области «Дирекция единого заказчика» Министерства здравоохранения Московской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