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28.08.2019, оставленным без изменения постановлением Семнадцатого арбитражного апелляционного суда от 04.12.2019 и постановлением Арбитражного суда Уральского округа от 17.03.2020, исковые требования удовлетворены.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Требования общества мотивированы возникновением на стороне предпринимателя неосновательного обогащения в результате ошибочного перечисления истцом денежных средств.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А60-15752/2018, учитывая отсутствие доказательств встречного предоставления со стороны ответчика или возврата им спорной суммы, руководствуясь статьями 8, 395, 1102 Гражданского кодекса Российской Федерации, пришли к выводу о наличии оснований для удовлетворения исковых требований.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 при рассмотрении дела,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Глушкова Дмитрия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