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26.07.2019 исковые требования удовлетворены, в пользу общества взыскано с Валюшко Д.В. 2 916 756 руб. убытков, с компании - 1 677 591 руб. 39 коп. неосновательного обогащения. Постановлением Семнадцатого арбитражного апелляционного суда от 05.11.2019 решение суда первой инстанции изменено, его резолютивная часть изложена в иной редакции, согласно которой в удовлетворении иска к Валюшко Д.В. отказано. 2 Постановлением Арбитражного суда Уральского округа от 18.03.2020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права, просит отменить их постановления и оставить в силе решение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Отказывая в удовлетворении исковых требований к Валюшко Д.В., суд апелляционной инстанции руководствовался статьями 195, 196, 199, 200 Гражданского кодекса Российской Федерации и исходил из пропуска обществом срока исковой давности, о чем было заявлено названным ответчиком. Суд округа согласился с выводами суда апелляционной инстанции, мотивированно отклонив возражения общества. С учетом установленных фактических обстоятельств настоящего дела доводы кассационной жалобы не подтверждают существенных нарушений судами апелляционной инстанции и округа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«Новоград»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