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Лазарев К.В. обратился в суд с заявлением о признании недействительными сделками платежей по договорам от 25.03.2018 № 058-117-023 и от 26.02.2018 № 059-117-23, совершённых должником в пользу общества в размере 637 979 рублей 48 копеек и 926 429 рублей 28 копеек, а также о применении последствий недействительности. Определением Арбитражного суда Московской области от 14.10.2019 отказано в удовлетворении заявления. Постановлением Десятого арбитражного апелляционного суда от 25.12.2019, оставленным без изменения постановлением Арбитражного суда Московского округа от 20.03.2019, отменено определение суда первой инстанции от 14.10.2019, заявление удовлетворено, применены последствия недействительности сделок в виде обязания общества возвратить в конкурную массу должника денежные средства в размере 1 564 408 рублей 76 копеек.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отказать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удовлетворяя требования,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61.6 Федерального закона от 26.10.2002 № 127-ФЗ «О несостоятельности (банкротстве)», пришёл к выводу о недействительности сделок, совершенных после введения в отношении должника процедуры наблюдения вне рамок обычной хозяйственной деятельности, указав на следствие сделок – предпочтительное удовлетворение требований общества перед другими кредиторами должника, правомерно применив последствия недействительности сделок.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«Лизинговая компания Уралсиб»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