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01.08.2019 с общества в пользу предпринимателя взыскано 123 525 руб. 25 коп. процентов за пользование чужими денежными средствами, в удовлетворении остальной части иска отказано. Постановлением Тринадцатого арбитражного апелляционного суда от 31.10.2019 решение суда первой инстанции изменено, принят отказ предпринимателя от иска в части требования о взыскании 568 264 руб. 38 коп. процентов, производство по делу в указанной части прекращено; с общества в пользу предпринимателя взыскано 125 314 руб. 04 коп. процентов, в удовлетворении остальной части иска отказано. 2 Постановлением Арбитражного суда Северо-Западного округа от 11.03.2020 постановление суда апелляционной инстанции оставлено без изменения. В кассационной жалобе, поданной в Верховный Суд Российской Федерации, предприниматель, ссылаясь на нарушение судами норм материального и процессуального права, просит отменить указанные судебные акты в части отказа в удовлетворении иска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оценив по правилам статьи 71 Арбитражного процессуального кодекса Российской Федерации, руководствуясь статьей 395 Гражданского кодекса Российской Федерации (далее – ГК РФ), положениями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разъяснениями, приведенными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пришли к выводу об отсутствии оснований для удовлетворения иска в части взыскания процентов по статье 395 ГК РФ на присужденную сумму процентов в связи с неисполнением судебных актов. При этом суды исходили из того, что начисление процентов на взысканные судебными актами проценты, рассчитанные на сумму долга, приводит к несоблюдению принципа соразмерности ответственности последствиям нарушения обязательства. Кроме того, учитывая, что законом установлен специальный способ защиты при просрочке возврата уплаченных по договору денежных средств, суд апелляционной инстанции указал на отсутствие оснований для взыскания процентов, начисленных на сумму задолженности. С указанными выводами впоследствии согласился суд округа.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3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Тенишева Тимура Рашидовича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