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13.05.2019, оставленным без изменения постановлением Второго арбитражного апелляционного суда от 13.09.2019 и постановлением Арбитражного суда Волго-Вятского округа от 05.03.2020, иск удовлетворен. В кассационной жалобе общество «Монтадеко» просит о пересмотре судебных актов, ссылаясь на нарушение процессуальных норм.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суда по принятию изменений в порядке статьи 49 Арбитражного процессуального кодекса Российской Федерации исковых требований и направлению дела по подсудности не являются процессуальными нарушениями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«Монтадеко»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