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«Компания «ТехноПром» срок подачи кассационной жалобы на постановление Тринадцатого арбитражного апелляционного суда от 24.10.2019 и постановление Арбитражного суда Северо-Западного округа от 13.02.2020 по делу № А56-42452/2018 Арбитражного суда города Санкт-Петербурга и Ленинградской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