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03.04.2019, оставленным без изменения постановлением Четвертого арбитражного апелляционного суда от 19.06.2019, иск удовлетворен. Постановлением Арбитражного суда Восточно-Сибирского округа от 02.12.2019 решение суда первой инстанции и постановление суда апелляционной инстанции отменены, в удовлетворении иска отказано В кассационной жалобе, поданной в Верховный Суд Российской Федерации, компания, ссылаясь на нарушение судом округа норм материального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иска, суд округа руководствовался статьями 195 , 196 , 199 , 203 , 206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пропуска компанией срока исковой давности по предъявленному исковому требованию, о чем было заявлено ответчиком. Доводы кассационной жалобы выводы суда округа не опровергают и не подтверждают существенных нарушений норм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холдинговая компания «Якутуголь»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ХОЛДИНГОВАЯ КОМПАНИЯ "ЯКУТУГОЛЬ" (подробнее) Ответчики: ОАО "Киноцентр" (подробнее) Иные лица: Нерюнгринский городской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