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«Строительные технологии» (далее – Общество) обратилось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фирма «Данко» об обязании в течение 10-ти календарных дней с момента вступления решения в законную силу привести общее имущество (фасад) многоквартирного дома по ул. Красноармейская 143 в г. Нижнем Тагиле (далее – МКД) в первоначальное состояние, а именно: произвести демонтаж семи кондиционеров с фасада МКД с последующими герметизацией отверстий, оставшихся после демонтажа оборудования; восстановить слой штукатурки и окрасочный слой в тон фасада. Решением Арбитражного суда Свердловской области от 07.08.2019, оставленным без изменения постановлением Семнадцатого арбитражного апелляционного суда от 04.12.2019 и постановлением Арбитражного суда Уральского округа от 23.03.2020, в удовлетворении требований отказано. 2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Учитывая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Управляющая компания «Строительные технологии». Срок подачи кассационной жалобы на решение Арбитражного суда Свердловской области от 07.08.2019, постановление Семнадцатого арбитражного апелляционного суда от 04.12.2019 и постановление Арбитражного суда Уральского округа от 23.03.2020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