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обратился в Верховный Суд Российской Федерации с кассационной жалобой, одновременно ходатайствуя о восстановлении пропущенного срока её подачи. Рассмотрев ходатайство о восстановлении процессуального срока, суд находит его обоснованным и подлежащим удовлетворению. Руководствуясь статьями 117, 184,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срок подачи кассационной жалобы на постановление Восемнадцатого арбитражного апелляционного суда от 21.01.2020 и постановление Арбитражного суда Уральского округа от 25.03.2020 по делу № А76-15965/2016 восстановить. Судья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