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«ТЕСС-НК» обратилось в Арбитражный суд Кемеровской области с иском о взыскании со страхового публичного акционерного общества «РЕСО-Гарантия» 132 960 рублей недоплаченного страхового возмещения, а также компенсации судебных расходов. Решением Арбитражного суда Кемеровской области от 02.07.2019 в удовлетворении иска отказано. Постановлением Седьмого арбитражного апелляционного суда от 03.10.2019 решение суда первой инстанции оставлено без изменения. Арбитражный суд Западно-Сибирского округа постановлением от 10.02.2020 указанные судебные акты оставил без изменения. Общество с ограниченной ответственностью «ТЕСС-НК»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431 , 927 , 929 , 943 Гражданского кодекса Российской Федерации, статьями 3 , 10 Закона Российской Федерации от 27.11.1992 № 4015-1 «Об организации страхового дела в Российской Федерации», суды пришли к выводу о правильном расчете страховщиком суммы страхового возмещения в соответствии с условиями договора и Правилами страхования средств автотранспорта.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«ТЕСС-НК»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"ТЕСС-НК" (подробнее) Ответчики: ПАО Страховое "Ресо-Гарантия" (подробнее) Иные лица: СААО "РЕСО-Гарантия"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