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Трушкин Д.И. обратился в суд с заявлениями, впоследствии объединенными в одно производство для совместного рассмотрения, в которых просил утвердить положение о порядке, сроках и условиях продажи имущества должника – квартиры площадью 87,3 кв. м, кадастровый номер 74:36:0407003:310, расположенной по адресу: г. Челябинск, ул. Цвиллинга, 38-46, установив начальную цену продажи имущества посредством торгов в размере 3 500 000 рублей, а также исключить из конкурсной массы должника – ¼ доли квартиры, расположенной по адресу: г. Южноуральск, ул. Мира, 37а-40, площадью 55 кв.м. как единственное пригодное для проживания должника и членов его семьи жилое помещение, а в случае отказа в удовлетворении ходатайства, утвердить положение о порядке, сроках и условиях продажи имущества должника – ½ доли данной квартиры, установив начальную цену продажи имущества посредством торгов в размере 550 000 рублей. Определением Арбитражного суда Челябинской области от 21.10.2019 из конкурсной массы должника исключена квартира, расположенная по адресу: г. Южноуральск, ул. Мира, 37а-40, и квартира, расположенная по адресу: г. Челябинск, ул. Цвиллинга, 38-46, отказано в удовлетворении заявления финансового управляющего об утверждении положения о порядке, сроках и условиях продажи имущества должника. 2 Постановлением Восемнадцатого арбитражного апелляционного суда от 21.01.2020, оставленным без изменения постановлением Арбитражного суда Уральского округа от 25.03.2020, изменено определение суда первой инстанции от 21.10.2019. из конкурсной массы должника исключена квартира, расположенная по адресу: г. Южноуральск, ул. Мира, 37а-40, утверждено положение о порядке, сроках и условиях продажи имущества должника – квартиры площадью 87,3 кв. м, кадастровый номер 74:36:0407003:310, расположенной по адресу: г. Челябинск, ул. Цвиллинга, 38-46, в редакции, представленной финансовым управляющим, отказано в удовлетворении остальной части заявления. Не согласившись с названными постановлениями судов апелляционной инстанции и округа, заявитель обратилась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обжалуемого судебного ввиду наличия вероятности реализации указанного имущества на торгах и на негативные последствия для себя и членов его семьи, связанные с реализацией имущества, а также приводит довод о том, что настоящее ходатайство направлено на сохранение баланса интересов участвующих в настоящем деле лиц.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Манакова Андрея Валерьевича о приостановлении исполнения постановления Восемнадцатого арбитражного апелляционного суда от 21.01.2020 по делу № А76-15965/2016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