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«РУМО ИНВЕСТ» обратилось в Арбитражный суд Нижегородской области с иском о взыскании с индивидуального предпринимателя ФИО1 514 221 рубля пени за нарушение срока поставки товара по договору от 08.06.2018 № 69/2018 за период с 10.08.2018 по 28.11.2018. Решением Арбитражного суда Нижегородской области от 16.07.2019 иск удовлетворен. Постановлением Первого арбитражного апелляционного суда от 24.10.2019 решение суда первой инстанции оставлено без изменения. Арбитражный суд Волго-Вятского округа постановлением от 28.02.2020 указанные судебные акты оставил без изменения. Индивидуальный предприниматель ФИО1 обратилась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329 , 330 , 331 , 506 Гражданского кодекса Российской Федерации и исходили из доказанности факта поставки предпринимателем товара с нарушением срока, установленного договором, и наличии оснований для взыскания договорной неустойки. Доводы, изложенные в кассационной жалобе об отсутствии оснований для привлечения ответчика к ответственности, неполном исследовании доказательств по делу,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"РУМО ИНВЕСТ" (подробнее) Ответчики: ИП Атавнова Дарья Михайловна (подробнее) Судьи дела: Зарубина Е.Н. (судья)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