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12.08.2019, оставленным без изменения постановлением Девятого арбитражного апелляционного суда от 18.11.2019 и постановлением Арбитражного суда Московского округа от 19.03.2020, с общества в пользу компании взыскано 2 500 000 руб. неустойки, в удовлетворении остальной части иска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с которыми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заключенного сторонами договора от 01.09.2014 № 66/13-ГН, руководствуясь статьями 309 , 310 , 330 Гражданского кодекса Российской Федерации, установив факт нарушения обществом обязательств по договору, пришли к выводу о наличии оснований для взыскания с него неустойки, снизив ее размер по ходатайству ответчика на основании статьи 333 Гражданского кодекса Российской Федерации. Доводы заявителя о пропуске срока исковой давности были предметом рассмотрения суд округа и получили соответствующую правовую оценку. Доводы кассационной жалобы не опровергают выводы судов, не подтверждают существенных нарушений норм материального права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ФСК «МОСТООТРЯД-47»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УПРАВЛЯЮЩАЯ КОМПАНИЯ "ТЮС" (подробнее) Ответчики: ООО ФСК "МОСТООТРЯД-47"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