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10.10.2019, оставленным без изменения постановлением Девятнадцатого арбитражного апелляционного суда от 19.12.2019 и постановлением Арбитражного суда Центрального округа от 25.03.2020, с компании в пользу общества взыскано 100 365 руб. 40 коп. пеней и 30 911 руб. расходов по уплате государственной пошлины, в удовлетворении остальной части иска отказано.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обжалуемых судебных актов, общество (поставщик) обратилось в арбитражный суд с иском по настоящему делу, ссылаясь на нарушение компанией (покупателем) срока оплаты поставленной им продукции в рамках договора поставки от 29.11.2011 № 220059 в редакции дополнительного соглашения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333, 454, 486, 506, 516 Гражданского кодекса Российской Федерации, разъяснениями, приведенными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компанией предусмотренного договором срока оплаты, пришли к выводу об обоснованности начисления обществом пеней. При этом, рассмотрев заявление компании о применении статьи 333 Гражданского кодекса Российской Федерации и оценив ее доводы о несоразмерности заявленной суммы пеней последствиям неисполнения обязательства, суды снизили их размер до 100 365 руб. 40 коп. и удовлетворили иск в указанной части. С выводами судов первой и апелляционной инстанций впоследствии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«Центральная оптовая база «Метизкомплект»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