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18.07.2019, оставленным без изменения постановлением Девятого арбитражного апелляционного суда от 25.11.2019 и постановлением Арбитражного суда Московского округа от 24.03.2020,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решением, принятым по результатам выездной налоговой проверки, обществу доначислено 41 557 006 рублей налога на прибыль и 36 397 775 рублей налога на добавленную стоимость (далее – НДС), начислены пени в сумме 29 535 305 рублей 51 копейки и штраф по статье 122 Налогового кодекса Российской Федерации (далее – Налоговый кодекс) в размере 5 808 722 рублей. Основанием для принятия решения послужил вывод налогового органа о неправомерном применении обществом специального налогового режима в виде упрощенной системы налогообложения (далее – УСН) в связи с формальным соблюдением действующего законодательства с целью получения необоснованной налоговой выгоды посредством распределения доходов, полученных от сдачи в аренду принадлежащего на праве собственности имущества между несколькими подконтрольными организациями, применяющими УСН. Подлежащие доначислению суммы налогов определены инспекцией исходя из разницы между выручкой подконтрольных арендаторов от сдачи помещений в субаренду и доходами самого заявителя от аренды, при этом учтены фактически понесенные расходы, связанные с предоставлением имущества в аренду (заработная плата, налог на имущество, НДС, эксплуатационные и коммунальные расходы). Оценив представленные в материалы дела доказательства, суды, руководствуясь положениями статей 105.1, 146, 171, 172, 247, 346.12, 346.13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наличии у налогового органа правовых оснований для принятия решения. Судебные инстанции исходили из доказанности совокупности обстоятельств, свидетельствующих о направленности действий общества на получение из бюджета необоснованной налоговой выгоды в виде применения специального налогового режима путем разделения (дробления) бизнеса и искусственного распределения выручки от осуществляемой деятельности на взаимозависимых подконтрольных организаций за счет переоформления документов по формальным договорам субаренды. 3 Доводы, изложенные в кассационной жалобе, в том числе о неверном определении налоговых обязательств и наличии оснований для снижения сумм пеней и штрафа, являлись предметом рассмотрения судов, получили правовую оценку и с учетом установленных обстоятельств не подтверждают существенных нарушений норм права, повлиявших на исход дела. Несогласие заявителя с выводами судов, иная оценка им фактических обстоятельств дела и иное применение к ним положений закона не означаю т допущенной при рассмотрении дела судебной ошибки, и не могут служить основанием для передачи кассационной жалобы на рассмотрение Судебной коллегии Верховного Суда Российской Федерации. Поскольку в передаче кассационной жалобы для рассмотрения в судебном заседании отказано, ходатайство общества о приостановлении исполнения судебных актов рассмотрению не подлежит.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«Сити 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