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02.08.2019, оставленным без изменения постановлением Семнадцатого арбитражного апелляционного суда от 27.11.2019, признаны недействительными пункты 1 и 4 предписания КРУ администрации Оренбурга в части требований, касающихся общества; в остальной части производство по делу прекращено. Постановлением Арбитражного суда Уральского округа от 19.03.2020 решение суда первой инстанции и постановление суда апелляционной инстанции отменены в части признания предписания незаконным и в удовлетворении заявления в указанной части отказано. В остальной части судебные акты оставлены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 в части отказа в признании недействительными пункта 1 предписания в отношении суммы 902 862 рубля 70 копеек и пункта 4 в отношении суммы 718 668 рублей 15 копеек.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 в обжалуемой части, суды первой и апелляционной инстанций пришли к выводу о незаконности пунктов 1 и 4 предписания в части требований, адресованных обществу, в связи с грубым нарушением КРУ администрации Оренбурга требований к организации и проведению плановой проверки, не включенной в ежегодный план проведения плановых мероприятий, повлекшем невозможность использовать результаты проверки в качестве доказательств нарушения требований, установленных муниципальными правовыми актами. Отменяя судебные акты, суд округа, руководствуясь положениями статьи 198 Арбитражного процессуального кодекса Российской Федерации, статьи 8 Гражданского кодекса Российской Федерации, статьи 19 Федерального закона от 13.03.2006 № 38-ФЗ «О рекламе», пришел к выводу о недоказанности обществом совокупности условий, необходимых для признания оспариваемого ненормативного акта недействительным. Суд кассационной инстанции указал, что оспоренное предписание вынесено в отношении управления как администратора доходов бюджета города Оренбурга по результатам проведенной проверки в связи с неисполнением последним решений Оренбургского городского Совета депутатов от 28.04.2014 № 795, от 27.04.2017 № 321 и причинением ущерба бюджету муниципального образования «город Оренбург». Данное предписание не нарушает прав и охраняемых законом интересов общества в сфере предпринимательской деятельности, поскольку каких-либо властных распорядительных и обязательных для него указаний не содержит. Ввиду заключения договоров на установку и эксплуатацию рекламных конструкций на территории муниципального образования между управлением и обществом возникли гражданско-правовые отношения, которые регулируются соответствующими нормами гражданского законодательства. Доводы, изложенные в кассационной жалобе, не опровергают выводы суда округа, основанные на нормах действующего законодательства и установленных обстоятельствах спора, не подтверждают существенных нарушений норм материального и норм процессуального права, повлиявших на исход дела. Несогласие заявителя кассационной жалобы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«Информ»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"Информ" (подробнее) Ответчики: Контрольно-ревизионное управление администрации города Оренбурга (подробнее) УПРАВЛЕНИЕ ПО РАЗМЕЩЕНИЮ НАРУЖНОЙ РЕКЛАМЫ И ОБЪЕКТОВ НАРУЖНОЙ ИНФОРМАЦИИ АДМИНИСТРАЦИИ ГОРОДА ОРЕНБУРГА (подробнее) Иные лица: Арбитражный сул Уральского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