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16.07.2019, оставленным без изменения постановлением Девятого арбитражного апелляционного суда от 24.10.2019 и постановлением Арбитражного суда Московского округа от 17.03.2020,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в части взыскания с него 504 539 руб. 93 коп. долга и направить дело в указанной части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аренды от 05.08.2015 № АПС-АРД-0106, обстоятельства его исполнения сторонами, руководствуясь статьями 199 , 309 , 310 , 330 , 411 , 606 , 611 , 614 Гражданского кодекса Российской Федерации, установив факт ненадлежащего исполнения ответчиком обязательств по внесению арендной платы в спорный период, а также пропуска срока исковой давности по требованию последнего, на основании которого им сделано заявление о зачете, пришли к выводу о наличии оснований для удовлетворения исковых требований в полном объеме, с чем впоследствии согласился суд округа.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«СтройТрансНефтеГаз»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"НЕФТЕГАЗОВЫЕ ТЕХНОЛОГИИ" (подробнее) Ответчики: АО "Стройтранснефтегаз"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