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03.10.2019, оставленным без изменения постановлением Девятого арбитражного апелляционного суда от 10.12.2019, иск удовлетворен. Постановлением Арбитражного суда Московского округа от 06.03.2020 указанные судебные акты оставлены без изменения. Ответчик просит отменить обжалуемые судебные акты, считая их принятыми с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признав, что действия ответчика повлекли для истца убытки в виде упущенной выгоды, которую истец получил бы в случае надлежащего исполнения законодательства ответчиком при заключении контракта с истцом. При определении размера упущенной выгоды суды исходили из представленных истцом расчета и приложенных документов, что не опровергнуто ответчиком при рассмотрении дела в суде.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Доказательств, однозначно свидетельствующих о том, что выводы судов основывались на платежном поручении № 1572, не представлено.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"ЗАВОД РЕЗЕРВУАРНЫХ КОНСТРУКЦИЙ СТРОЙТЕХМАШ" (подробнее) Ответчики: ГБУ г. "Москвы Автомобильные дороги СВАО"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