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29.07.2019, оставленным без изменения постановлением Девятого арбитражного апелляционного суда от 09.10.2019, с ответчика в пользу истца взыскана неустойка в размере 88 484,89 рублей, в остальной части в удовлетворении иска отказано. Постановлением Арбитражного суда Московского округа от 02.03.2020 указанные судебные акты оставлены без изменения. Учреждение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суды в удовлетворении требования частично отказали, поскольку признали не доказанным наличие оснований для взыскания штрафа, так как доказательства ненадлежащего выполнения работ подрядчиком и наличие недостатков работ своевременно не представлены. Доводы жалобы, в том числе относительно качества работ, были предметом рассмотрения судов и получили исчерпывающую правовую оценку исходя из установленных в рамках дела № А40-125375/2018 обстоятельств, свидетельствующих о наличии у учреждения обязанности по оплате работ в связи с их надлежащим выполнением,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ГОСУДАРСТВЕННОЕ БЮДЖЕТНОЕ УЧРЕЖДЕНИЕ ГОРОДА МОСКВЫ "АВТОМОБИЛЬНЫЕ ДОРОГИ СЕВЕРО-ЗАПАДНОГО АДМИНИСТРАТИВНОГО ОКРУГА" (подробнее) Ответчики: ООО "Интерспецстрой"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