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09.09.2019, оставленным без изменения постановлением Десятого арбитражного апелляционного суда от 26.11.2019 и постановлением Арбитражного суда Московского округа от 16.03.2020,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заявителя не установлено. Как следует из судебных актов, общество (подрядчик), обращаясь в арбитражный суд с иском по настоящему делу, сослалось на то, что учреждение (заказчик) не оплатило работы, выполненные подрядчиком в рамках государственного контракта от 20.11.2018 № 208/18-СД (далее – контракт).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прекращения контракта ввиду одностороннего отказа учреждения от его исполнения из-за существенного нарушения обществом его условий, учитывая отсутствие доказательств надлежащего выполнения подрядчиком работ в период действия контракта, руководствуясь статьями 715 , 720 , 721 , 723 , 740 , 753 Гражданского кодекса Российской Федерации, суды первой и апелляционной инстанций пришли к выводу об отсутствии оснований для удовлетворения иска. С указанными выводами впоследствии согласился суд округа.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«Меганефть»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"Меганефть" (подробнее) Ответчики: Федеральное казенное учреждение "Федеральное управление автомобильных дорог "Центральная Россия" Федерального дорожного агентства" (подробнее) Судьи дела: Чучунова Н.С.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