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26.07.2019, постановление Семнадцатого арбитражного апелляционного суда от 18.11.2019 и постановление Арбитражного суда Уральского округа от 25.02.2020 по делу № А60-14265/2017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