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12.08.2019, оставленным без изменения постановлением Пятого арбитражного апелляционного суда от 12.11.2019, иск удовлетворен, суд обязал общество устранить недостатки в рамках гарантийных обязательств по муниципальному контракту в течение двух месяцев со дня вступления настоящего решения в законную силу; установлен способ исполнения судебного акта, судебный штраф на случай неисполнения судебного акта в размере 3 000 рублей в день, подлежащий начислению по истечении установленного настоящим решением срока устранения недостатков. Постановлением Арбитражного суда Дальневосточного округа от 02.03.2020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иск, признав доказанным факт использования обществом (подрядчиком) при производстве подрядных работ по укладке коврового покрытия полов материалов, не соответствующих требованиям технического задания к контракту и нормативам воспламеняемости. Доводы жалобы были предметом рассмотрения судов и получили исчерпывающую правовую оценку исходя из отсутствия доказательств, опровергающих выводы экспертного исследования о качестве коврового покрытия,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МБУК Кинодосуговый центр "Россия" (подробнее) Ответчики: ООО "ЦЕНТР ТЕХНОЛОГИЧЕСКИХ РЕШЕНИЙ"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