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05.07.2019, оставленным без изменения постановлением Девятого арбитражного апелляционного суда от 20.11.2019 и постановлением Арбитражного суда Московского округа от 13.03.2020, в удовлетворении заявленных требований отказано. В кассационной жалобе, поданной в Верховный Суд Российской Федерации, общество, ссылаясь на нарушение судами норм материального права, просит отменить указанные судебные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Отказывая в удовлетворении заявленных требований, суды руководствовались статьями 10 , 167 , 174 , 181 , 182 , 183 , 199 , 200 Гражданского кодекса Российской Федерации, разъяснениями, приведенными в постановлении Пленума Высшего Арбитражного Суда Российской Федерации от 28.02.1995 № 2/1 «О некоторых вопросах, связанных с введением в действие части первой Гражданского кодекса Российской Федерации»,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исходили из пропуска обществом срока исковой давности, о чем было заявлено ответчиком. Доводы кассационной жалобы были предметом рассмотрения судов и получили правовую оценку, не опровергают выводы судов, направлены на переоценку обстоятельств, установленных судами при рассмотрении дела,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Учитывая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«Каркаде»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"Каркаде" (подробнее) Ответчики: ООО "ТРАНССТРОЙГРУП"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