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29.08.2019, оставленным без изменения постановлением Десятого арбитражного апелляционного суда от 22.11.2019, первоначальный иск удовлетворен, встречный иск удовлетворен частично, с общества в пользу учреждения взыскана неустойка в размере 26 235,77 рублей, в остальной части иска отказано; в результате проведенного судом зачета требований с учреждения в пользу общества взыскано 1 261 368,38 рублей. Постановлением Арбитражного суда Московского округа от 10.03.2020 16.03.2020 указанные судебные акты оставлены без изменения. Учреждение просит отменить обжалуемые судебные акты в части отказа в удовлетворении встречного иска, считая их принятыми с существенным нарушением норм материального и процессуального права в указанной части.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и установив, что контракт расторгнут по соглашению сторон, работы признаны выполненными в полном объеме,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удовлетворили первоначальный иск, установив, что обязательства по оплате учреждением (заказчиком) выполненных работ в установленный срок не исполнены; частично отказывая в удовлетворении встречного иска о взыскании с общества (исполнителя) неустойки за просрочку выполнения работ, суды исходили из того, что нарушение сроков проведения работ вызвано несвоевременным исполнением заказчиком обязанности по передаче объекта для производства работ, размер неустойки снижен судом. Изложенные в жалобе доводы приводились при рассмотрении дела, получили исчерпывающую правовую оценку исходя из условий договора и конкретных доказательств, представленных сторонами в обоснование своих доводов.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"РусЭкоГарант" (подробнее) Ответчики: ГОСУДАРСТВЕННОЕ КАЗЕННОЕ УЧРЕЖДЕНИЕ МОСКОВСКОЙ ОБЛАСТИ "ДИРЕКЦИЯ ЕДИНОГО ЗАКАЗЧИКА МИНИСТЕРСТВА ЗДРАВООХРАНЕНИЯ МОСКОВСКОЙ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