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01.07.2019, оставленным без изменения постановлением Первого арбитражного апелляционного суда от 15.11.2019, в удовлетворении требований отказано. Постановлением Арбитражного суда Волго-Вятского округа от 17.03.2020 указанные судебные акты оставлены без изменения. Общество просит отменить обжалуемые судебные акты в части, касающейся пунктов 2.1.1, 2.1.3, 2.1.4 решения налогового органа,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171 , 172 , 252 , 309 Налогового кодекса Российской Федерации, суды отказали в удовлетворении требования, признав, что по эпизоду, связанному с оказанием услуг, налогоплательщиком создан формальный документооборот с целью получения необоснованной налоговой выгоды, выводы судов по эпизоду приобретения обществом доли в уставном капитале основаны на оценке разумных экономических или иных причин (деловой цели) в действиях налогоплательщика, а также признании доказанным налоговым органом направленности действий налогоплательщика на скрытое распределение обществом прибыли в адрес компаний холдинга без намерения уплатить причитающиеся налоги на территории Российской Федерации.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"МОН"ДЭЛИС РУСЬ" (подробнее) Ответчики: МИФНС по крупнейшей налогоплательщикам по Владимирской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