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12.07.2019 иск удовлетворен. Девятый арбитражный апелляционный суд постановлением от 19.11.2019 отменил решение суда первой инстанции и отказал в удовлетворении иска. Постановлением Арбитражного суда Московского округа от 27.02.2019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с которым согласился суд округа, повторно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заключенных сторонами договоров, руководствуясь статьями 309 , 310 , 421 , 422 , 425 , 1005 Гражданского кодекса Российской Федерации, исходил из отсутствия оснований для привлечения компании к ответственности в виде взыскания штрафа. Доводы кассационной жалобы не свидетельствуют о допущенных судами апелляционной инстанции и округа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"Элтрейд" (подробнее) Ответчики: ООО "СВЕТОТЕХНИЧЕСКАЯ КОМПАНИЯ "ГЕЛИОСИТИ"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