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18.06.2020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своевременное направление первоначальной жалобы (02.06.2020) и основания ее возврата, суд признает их уважительными, не зависящими от заявителя.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арбитражного управляющего Винникова Феликса Феликсовича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