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13.06.2019, оставленным без изменения постановлением Тринадцатого арбитражного апелляционного суда от 23.10.2019, исковые требования удовлетворены. Арбитражный суд Северо-Западного округа постановлением от 06.02.2020 решение от 13.06.2019 и постановление Тринадцатого арбитражного апелляционного суда от 23.10.2019 оставил без изменения. В кассационной жалобе общество просит об отмене судебных актов, ссылаясь на осуществление платежа с нарушением условий гарантии.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и оценив обстоятельства спора, руководствуясь статьями 368 - 370 , 374 - 376 Гражданского кодекса Российской Федерации, суды установили отсутствие законного или договорного основания для освобождения ответчика (принципал) от обязанности возмещения банку выплаченной по гарантии суммы. Поднятые в жалобе процессуальные вопросы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«ТехникАВТО»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