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03.06.2019, оставленным без изменения постановлением Восемнадцатого арбитражного апелляционного суда от 27.08.2019, исковые требования удовлетворены в заявленном размере. Арбитражный суд Уральского округа постановлением от 31.01.2020 решение от 03.05.2019 и постановление Восемнадцатого арбитражного апелляционного суда от 27.08.2019 оставил без изменения. В кассационной жалобе общество «Росгосстрах» просит об отмене судебных актов, ссылаясь на возникновение убытков за пределами действия страхования.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наступление страхового случая в виде убытков, причиненных ненадлежащим исполнением арбитражным управляющим возложенных на него обязанностей в период действия страхования, подтвержденных вступившим в силу судебным актом, и удовлетворили иск в соответствии с установленными обстоятельствами и статьей 24.1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"Агро Альянс" (подробнее) Ответчики: ООО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