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10.07.2019, оставленным без изменения постановлением Девятого арбитражного апелляционного суда от 02.10.2019, иск удовлетворен. Арбитражный суд Московского округа постановлением от 17.02.2020 решение от 10.07.2019 и постановление Девятого арбитражного апелляционного суда от 02.10.2019 оставил без изменения. В кассационной жалобе общество «ВСК» просит об отмене судебных актов, ссылаясь на неисследование попадания убытков под условия договора, предусматривающие страхование ответственности вследствие неисполнения гарантийных обязательств, и неправильное распределение бремени доказывания. В соответствии с положениями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убытки возникли в период действия договора страхования от 01.03.2016 № 1600B180R0281 после принятия объекта в эксплуатацию, поэтому признали их попадающими под условия договора о страховании ответственности вследствие нарушения гарантийных обязательств, выгодоприобретаталем по которым является истец, доказавший обстоятельства возникновения убытков.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"САДОВОЕ КОЛЬЦО"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