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Челябинской области от 26.07.2019, оставленным без изменения постановлением Восемнадцатого арбитражного апелляционного суда от 04.10.2019 и постановлением Арбитражного суда Уральского округа от 22.01.2020, принят отказ от иска в части взыскания долга и производство по делу в указанной части прекращено; в остальной части иск удовлетворен. В кассационной жалобе концерн просит об отмене судебных актов, ссылаясь на лишение возможности представить доказательства.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 наличие основания для взыскания с концерна (покупателя) договорной неустойки в связи с несвоевременной оплатой поставленного в рамках договора от 07.10.2015 № 07/10 товара и удовлетворили иск в соответствии со статьями 330 , 506 , 516 Гражданского кодекса Российской Федерации. Приведенный в жалобе довод о необоснованном отказе в отложении судебного заседания не составляет оснований для кассационного пересмотра судебных актов.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«Концерн Митмонд»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"Креатив Спайс" (подробнее) Ответчики: ООО "Концерн Митмонд" (подробнее) Судьи дела: Ксенофонтова Н.А. (судья) (подробнее) Судебная практика по: По договору поставки Судебная практика по применению норм ст. 506, 507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