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07.03.2019, принятым в упрощенном порядке, взыскано 584 338 рублей 13 копеек неосновательного обогащения и 10 000 рублей расходов на услуги представителя. Девятый арбитражный апелляционный суд рассмотрел дело по правилам для суда первой инстанции и постановлением от 03.09.2019 отменил решение от 07.03.2019 и отказал в удовлетворении иска. Арбитражный суд Московского округа постановлением от 10.02.2020 постановление Девятого арбитражного апелляционного суда от 03.09.2019 оставил без изменения. В кассационной жалобе общество «Страховая компания «Арсеналъ» просит об отмене постановления суда округа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страховое возмещение уплачено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полиции». В такой ситуации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