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21.06.2019, оставленным без изменения постановлением Восьмого арбитражного апелляционного суда от 27.09.2019, иск удовлетворен. Арбитражный суд Западно-Сибирского округа постановлением от 30.01.2020 решение от 21.06.2019 и постановление Восьмого арбитражного апелляционного суда от 27.09.2019 оставил без изменения. В кассационной жалобе общество «Тракинвестпроект» просит об отмене судебных актов, ссылаясь на взыскание реального ущерба вместо заявленной упущенной выгоды, неправильное применения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Иск рассмотрен по заявленному предмету, составляющему расходы на привлечение стороннего транспортного средства в связи с длительным и некачественным ремонтом принадлежащего истцу транспортного средства. При установлении нарушения обязательства суды исходили из разумного срока выполнения ремонта транспортного средства, определяя критерии разумности с учетом норм права, регулирующих сходные правоотношения.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«Тракинвестпроект»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"Автопроект" (подробнее) Ответчики: ООО "ТРАКИНВЕСТПРОЕКТ"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