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24.07.2019, оставленным без изменения постановлением Одиннадцатого арбитражного апелляционного суда от 02.10.2019 и постановлением Арбитражного суда Поволжского округа от 27.01.2020, в удовлетворении иска отказано. В кассационной жалобе общество «Система защиты +» просит об отмене судебных актов как не соответствующих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правилам Арбитражного процессуального кодекса Российской Федерации (далее – Кодекс) судебные расходы взыскиваются в рамках дела, в связи с рассмотрением которого они понесены. Определение ответчика в целях возмещения в исковом производстве расходов, понесенных в связи с рассмотрением инициированного в порядке главы 27 Кодекса дела № А32-2623/2018, суды компетентны были оценить на основании статьи 10 Гражданского кодекса Российской Федерации с применением соответствующего последствия.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«Система защиты 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"Системы защиты+" (подробнее) Ответчики: ООО "ФЛИМ" (подробнее) Судьи дела: Ксенофонтова Н.А.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