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02.09.2019, оставленным без изменения постановлением Девятого арбитражного апелляционного суда от 05.11.2019, иск удовлетворен. Арбитражный суд Московского округа постановлением от 27.01.2020 решение от 02.09.2019 и постановление Девятого арбитражного апелляционного суда от 05.11.2019 оставил без изменения. В кассационной жалобе банк просит об отмене судебных актов, ссылаясь на представление требования по гарантии за пределами срока ее действия.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толкование понятия «представление» в отношении требования о платеже как получение его в пределах срока действия гарантии не основано на содержании банковской гарантии от 04.10.2017 № БГ-148273/2017. В указанной ситуации направленное в последний день действия гарантии требования о платеже признано надлежащим в силу статьи 194 Гражданского кодекса Российской Федерации и условий гарантии.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«Держава»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Министерство труда и социальной защиты Тульской области (подробнее) Ответчики: ПАО "АКЦИОНЕРНЫЙ КОММЕРЧЕСКИЙ БАНК "ДЕРЖАВА" 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