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31.10.2019 дело назначено к рассмотрению в суде первой инстанции, ходатайства общества «Вектор» и компании о вступлении в дело в качестве третьих лиц, не заявляющих самостоятельных требований относительно предмета спора, оставлены открытыми до представления позиции истца и ответчика относительно целесообразности их привлечения. Определением Девятого арбитражного апелляционного суда от 25.11.2019 апелляционная жалоба на определение от 31.10.2019 возвращена компании на основании пункта 2 части 1 статьи 264 Арбитражного процессуального кодекса Российской Федерации. Постановлением Арбитражного суда Московского округа от 05.03.2020 производство по кассационной жалобе компании на определение Арбитражного суда города Москвы от 31.10.2019 прекращено на основании пункта 1 части 1 статьи 150 Арбитражного процессуального кодекса Российской Федерации; определение Девятого арбитражного апелляционного суда от 25.11.2019 оставлено без изменения. В кассационной жалобе компания просит о пересмотре судебных актов, ссылаясь на нарушение ее прав фактическим отказом во вступлении в дело.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Судебные акты не препятствуют восстановлению и защите прав компании, поэтому не могут быть пересмотрены в кассационном порядке.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«ТЮС»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"Вектор" (подробнее) ООО "НПК СЛАВРОС" (подробнее) ООО УПРАВЛЯЮЩАЯ КОМПАНИЯ "ТЮС" (подробнее) Ответчики: ООО "Спецтрансстрой"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