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29.04.2019 исковые требования удовлетворены. Двадцатый арбитражный апелляционный суд постановлением от 10.10.2019 отменил решение от 29.04.2019 и прекратил производство по делу на основании пункта 2 части 1 статьи 150 Арбитражного процессуального кодекса Российской Федерации. Арбитражный суд Центрального округа постановлением от 12.02.2020 постановление Двадцатого арбитражного апелляционного суда от 10.10.2019 оставил без изменения. В кассационной жалобе общество «СБС» просит об отмене судебных актов апелляционного и окружного судов, ссылаясь на ошибочное признание тождества рассмотренного судом общей юрисдикции и настоящего исков.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во взыскании по тем же основаниям спорной суммы отказано решением Малоярославецкого районного суда Калужской области по делу № 2-886/2015. Довод заявителя о том, что судом общей юрисдикции не исследовались обстоятельства, заявленные в рассматриваемом деле, не отменяет тождества исков, на что правильно указал окружной суд.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СБС (подробнее) Ответчики: ООО "Спортивно-оздоровительная база отдыха "Лесное"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